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Calibri" w:cs="Calibri" w:eastAsia="Calibri" w:hAnsi="Calibri"/>
          <w:b/>
          <w:bCs/>
          <w:color w:val="0B1220"/>
          <w:sz w:val="30"/>
          <w:szCs w:val="30"/>
        </w:rPr>
        <w:t xml:space="preserve">Calendário de 30 dias — a janela de IBS e CBS</w:t>
      </w:r>
    </w:p>
    <w:p>
      <w:pPr>
        <w:spacing w:after="240" w:line="276"/>
      </w:pPr>
      <w:r>
        <w:rPr>
          <w:rFonts w:ascii="Calibri" w:cs="Calibri" w:eastAsia="Calibri" w:hAnsi="Calibri"/>
          <w:color w:val="64748B"/>
          <w:sz w:val="21"/>
          <w:szCs w:val="21"/>
        </w:rPr>
        <w:t xml:space="preserve">A janela abre em 1º de setembro e fecha em 30. Isto é o que cabe em cada semana.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Semana 1 — até 08/09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Objetivo: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triar a carteira inteira e sair com a lista de quem precisa decidir. Nesta semana você não analisa ninguém a fundo: você separa.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Levante a carteira completa de optantes do Simples Nacional, com faturamento dos últimos 12 meses e anexo.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Marque quem vende para outras empresas e estime, para cada um, quanto da receita vai para comprador que aproveita crédito.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Descarte, com critério anotado, quem vende quase só para consumidor final — a maior parte da carteira cai aqui e isso é normal.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Classifique o que sobrou em faixa A (decide agora), faixa B (analisar se sobrar tempo) e faixa C (revisar na janela de março).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Prepare o modelo de proposta com os seus valores, prazos e dados do escritório preenchidos.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Bloqueie na agenda os horários das reuniões da semana 3 — antes que a agenda seja tomada.</w:t>
      </w:r>
    </w:p>
    <w:p>
      <w:pPr>
        <w:spacing w:after="160" w:line="276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Ao fim desta semana você deve ter: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a carteira inteira triada, a faixa A fechada com nome, CNPJ e telefone do decisor, e a proposta pronta para envio.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Semana 2 — 09 a 15/09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Objetivo: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produzir as análises da faixa A e colocar as propostas na rua. Volume aqui é o que enche a semana 3.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Peça a cada empresa da faixa A o mix de clientes e a estrutura de compras — sem isso não há premissa e não há análise.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Rode a análise de alíquota efetiva de cada uma, sempre nos dois cenários de alíquota.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Envie a proposta nominal a todos os da faixa A, com prazo de resposta explícito e a data de 30/09 em destaque.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Faça o follow-up em 48 horas de cada proposta enviada — por telefone, não por mensagem.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Agende as reuniões da semana 3 à medida que as propostas forem aceitas.</w:t>
      </w:r>
    </w:p>
    <w:p>
      <w:pPr>
        <w:spacing w:after="160" w:line="276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Ao fim desta semana você deve ter: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100% da faixa A com proposta enviada e ao menos [N] reuniões já marcadas na agenda da semana seguinte.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Semana 3 — 16 a 23/09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Objetivo: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reunir, decidir e emitir. É a semana mais pesada do mês; proteja a agenda.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Conduza as reuniões com o roteiro dos 6 blocos, uma por empresa, com o decisor presente.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Registre a decisão de cada reunião no mesmo dia — optar, permanecer ou optar e reavaliar.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Emita o laudo técnico com memória de cálculo em até [X] dias úteis após cada reunião.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Envie o termo de ciência para assinatura logo após cada laudo, inclusive para quem decidiu permanecer como está.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Reagende imediatamente qualquer reunião desmarcada — não sobra semana para remarcar depois.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Se sobrar capacidade, puxe a faixa B para análise.</w:t>
      </w:r>
    </w:p>
    <w:p>
      <w:pPr>
        <w:spacing w:after="160" w:line="276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Ao fim desta semana você deve ter: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todas as reuniões da faixa A realizadas, cada decisão anotada com data e os laudos emitidos ou em emissão.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Semana 4 — 24 a 30/09</w:t>
      </w:r>
    </w:p>
    <w:p>
      <w:pPr>
        <w:spacing w:after="70" w:line="268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Objetivo: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fechar. Assinatura recolhida e opção formalizada de quem optou. Nada fica para outubro.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Persiga as assinaturas pendentes do termo de ciência, uma a uma, por telefone.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Formalize a opção de cada empresa que decidiu apurar fora do DAS, com folga de dois dias sobre o prazo.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Guarde o comprovante de cada formalização junto do laudo e do termo, no arquivo do cliente.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Faça a última chamada aos indecisos, lembrando que em 1º de outubro não existe mais opção para o primeiro semestre de 2027.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Feche o placar do mês: analisados, decididos, optantes, permanecidos e honorários emitidos.</w:t>
      </w:r>
    </w:p>
    <w:p>
      <w:pPr>
        <w:spacing w:after="80" w:line="270"/>
        <w:ind w:left="220" w:hanging="220"/>
      </w:pPr>
      <w:r>
        <w:rPr>
          <w:rFonts w:ascii="Calibri" w:cs="Calibri" w:eastAsia="Calibri" w:hAnsi="Calibri"/>
          <w:color w:val="0B1220"/>
          <w:sz w:val="22"/>
          <w:szCs w:val="22"/>
        </w:rPr>
        <w:t xml:space="preserve">☐</w:t>
      </w:r>
      <w:r>
        <w:rPr>
          <w:rFonts w:ascii="Calibri" w:cs="Calibri" w:eastAsia="Calibri" w:hAnsi="Calibri"/>
          <w:color w:val="1F2937"/>
          <w:sz w:val="21"/>
          <w:szCs w:val="21"/>
        </w:rPr>
        <w:t xml:space="preserve">  Marque na agenda as revisões da primeira quinzena de novembro.</w:t>
      </w:r>
    </w:p>
    <w:p>
      <w:pPr>
        <w:spacing w:after="160" w:line="276"/>
      </w:pPr>
      <w:r>
        <w:rPr>
          <w:rFonts w:ascii="Calibri" w:cs="Calibri" w:eastAsia="Calibri" w:hAnsi="Calibri"/>
          <w:b/>
          <w:bCs/>
          <w:color w:val="0B1220"/>
          <w:sz w:val="20"/>
          <w:szCs w:val="20"/>
        </w:rPr>
        <w:t xml:space="preserve">Ao fim desta semana você deve ter: 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zero termo pendente de assinatura, a opção formalizada de quem optou e nenhuma empresa da faixa A sem decisão registrada.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Depois de 30/09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Em outubro o trabalho é de manutenção e preparo. Acompanhe a publicação da alíquota de referência, que sai por Resolução do Senado até 31 de outubro de 2026, e recalcule os cenários de cada empresa que optou. Aproveite o mês para analisar a faixa B, que não coube em setembro.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Em novembro entra a única correção de rota disponível: quem optou pode cancelar até o último dia do mês. Reúna com quem ficou em decisão de margem estreita, apresente os números já com a alíquota publicada e registre por escrito a manutenção ou o cancelamento — com o mesmo termo de ciência.</w:t>
      </w:r>
    </w:p>
    <w:p>
      <w:pPr>
        <w:spacing w:after="120" w:line="276"/>
      </w:pPr>
      <w:r>
        <w:rPr>
          <w:rFonts w:ascii="Calibri" w:cs="Calibri" w:eastAsia="Calibri" w:hAnsi="Calibri"/>
          <w:color w:val="1F2937"/>
          <w:sz w:val="21"/>
          <w:szCs w:val="21"/>
        </w:rPr>
        <w:t xml:space="preserve">Depois disso, a janela seguinte é em março, para o semestre posterior. A faixa C e tudo o que ficou de fora entram nessa próxima rodada — a decisão é semestral, então o assunto volta.</w:t>
      </w:r>
    </w:p>
    <w:p>
      <w:pPr>
        <w:pStyle w:val="Heading2"/>
        <w:pBdr>
          <w:bottom w:val="single" w:color="CBD5E1" w:sz="6" w:space="4"/>
        </w:pBdr>
        <w:spacing w:after="120" w:before="300"/>
      </w:pPr>
      <w:r>
        <w:rPr>
          <w:rFonts w:ascii="Calibri" w:cs="Calibri" w:eastAsia="Calibri" w:hAnsi="Calibri"/>
          <w:b/>
          <w:bCs/>
          <w:color w:val="0B1220"/>
          <w:sz w:val="24"/>
          <w:szCs w:val="24"/>
        </w:rPr>
        <w:t xml:space="preserve">Datas que não se movem</w:t>
      </w:r>
    </w:p>
    <w:tbl>
      <w:tblPr>
        <w:tblW w:type="dxa" w:w="9638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single" w:color="CBD5E1" w:sz="4"/>
          <w:insideV w:val="single" w:color="CBD5E1" w:sz="4"/>
        </w:tblBorders>
      </w:tblPr>
      <w:tblGrid>
        <w:gridCol w:w="2300"/>
        <w:gridCol w:w="7338"/>
      </w:tblGrid>
      <w:tr>
        <w:trPr>
          <w:tblHeader/>
        </w:trPr>
        <w:tc>
          <w:tcPr>
            <w:tcW w:type="dxa" w:w="2300"/>
            <w:shd w:fill="0B1220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Data</w:t>
            </w:r>
          </w:p>
        </w:tc>
        <w:tc>
          <w:tcPr>
            <w:tcW w:type="dxa" w:w="7338"/>
            <w:shd w:fill="0B1220" w:color="auto" w:val="clear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 que acontece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30/09/2026</w:t>
            </w:r>
          </w:p>
        </w:tc>
        <w:tc>
          <w:tcPr>
            <w:tcW w:type="dxa" w:w="73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Fecha a janela de opção. Depois desta data não há opção para o primeiro semestre de 2027.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31/10/2026</w:t>
            </w:r>
          </w:p>
        </w:tc>
        <w:tc>
          <w:tcPr>
            <w:tcW w:type="dxa" w:w="73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Prazo para a fixação da alíquota de referência de IBS e CBS por Resolução do Senado — depois do fechamento da janela.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Último dia de novembro/2026</w:t>
            </w:r>
          </w:p>
        </w:tc>
        <w:tc>
          <w:tcPr>
            <w:tcW w:type="dxa" w:w="73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Limite para cancelar a opção feita em setembro.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01/01/2027</w:t>
            </w:r>
          </w:p>
        </w:tc>
        <w:tc>
          <w:tcPr>
            <w:tcW w:type="dxa" w:w="7338"/>
            <w:tcMar>
              <w:top w:type="dxa" w:w="75"/>
              <w:left w:type="dxa" w:w="125"/>
              <w:bottom w:type="dxa" w:w="75"/>
              <w:right w:type="dxa" w:w="125"/>
            </w:tcMar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20"/>
                <w:szCs w:val="20"/>
              </w:rPr>
              <w:t xml:space="preserve">Início do efeito da opção, que vale de janeiro a junho de 2027.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color w:val="64748B"/>
          <w:sz w:val="18"/>
          <w:szCs w:val="18"/>
        </w:rPr>
        <w:t xml:space="preserve">Base normativa: EC 132/2023 · LC 214/2025 · LC 227/2026, que revogou o art. 87-B e postergou o art. 517 · Resolução CGSN nº 186/2026, apoiada no art. 41, §§ 3º e 4º, da LC 123/2006.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6" w:space="6"/>
      </w:pBdr>
      <w:spacing w:before="60"/>
    </w:pPr>
    <w:r>
      <w:rPr>
        <w:rFonts w:ascii="Calibri" w:cs="Calibri" w:eastAsia="Calibri" w:hAnsi="Calibri"/>
        <w:i/>
        <w:iCs/>
        <w:color w:val="64748B"/>
        <w:sz w:val="15"/>
        <w:szCs w:val="15"/>
      </w:rPr>
      <w:t xml:space="preserve">Estimativa de cenário a partir de premissas informadas. A decisão e a responsabilidade técnica são do contador que assina.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  <w:rPr>
        <w:color w:val="0B1220"/>
      </w:rPr>
    </w:lvl>
    <w:lvl w:ilvl="1" w15:tentative="1">
      <w:start w:val="1"/>
      <w:numFmt w:val="bullet"/>
      <w:lvlText w:val="–"/>
      <w:lvlJc w:val="left"/>
      <w:pPr>
        <w:ind w:left="680" w:hanging="200"/>
      </w:pPr>
      <w:rPr>
        <w:color w:val="64748B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2026-08-01T19:09:41.446Z</dcterms:created>
  <dcterms:modified xsi:type="dcterms:W3CDTF">2026-08-01T19:09:41.450Z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