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B1220" w:sz="12" w:space="8"/>
        </w:pBdr>
        <w:spacing w:after="60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[INSERIR LOGO DO ESCRITÓRIO]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B1220"/>
          <w:sz w:val="22"/>
          <w:szCs w:val="22"/>
        </w:rPr>
        <w:t xml:space="preserve">[NOME DO ESCRITÓRIO]</w:t>
      </w:r>
    </w:p>
    <w:p>
      <w:pPr>
        <w:spacing w:after="320"/>
      </w:pPr>
      <w:r>
        <w:rPr>
          <w:rFonts w:ascii="Calibri" w:cs="Calibri" w:eastAsia="Calibri" w:hAnsi="Calibri"/>
          <w:color w:val="64748B"/>
          <w:sz w:val="17"/>
          <w:szCs w:val="17"/>
        </w:rPr>
        <w:t xml:space="preserve">CRC [CRC] · [CIDADE/UF] · [TELEFONE] · [E-MAIL]</w:t>
      </w:r>
    </w:p>
    <w:p>
      <w:pPr>
        <w:pStyle w:val="Heading1"/>
        <w:spacing w:after="160" w:before="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Análise da opção de IBS e CBS — decisão até 30 de setembro de 2026</w:t>
      </w:r>
    </w:p>
    <w:p>
      <w:pPr>
        <w:spacing w:after="240" w:line="276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Proposta de serviço técnico · emitida em [DATA] · válida por [N] dias</w:t>
      </w:r>
    </w:p>
    <w:tbl>
      <w:tblPr>
        <w:tblW w:type="dxa" w:w="9638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Destinatário</w:t>
            </w:r>
          </w:p>
        </w:tc>
        <w:tc>
          <w:tcPr>
            <w:tcW w:type="dxa" w:w="7438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Dados</w:t>
            </w:r>
          </w:p>
        </w:tc>
      </w:tr>
      <w:tr>
        <w:trPr>
          <w:tblHeader w:val="false"/>
        </w:trPr>
        <w:tc>
          <w:tcPr>
            <w:tcW w:type="dxa" w:w="2200"/>
            <w:shd w:fill="F1F5F9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Empresa</w:t>
            </w:r>
          </w:p>
        </w:tc>
        <w:tc>
          <w:tcPr>
            <w:tcW w:type="dxa" w:w="74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[EMPRESA]</w:t>
            </w:r>
          </w:p>
        </w:tc>
      </w:tr>
      <w:tr>
        <w:trPr>
          <w:tblHeader w:val="false"/>
        </w:trPr>
        <w:tc>
          <w:tcPr>
            <w:tcW w:type="dxa" w:w="2200"/>
            <w:shd w:fill="F1F5F9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CNPJ</w:t>
            </w:r>
          </w:p>
        </w:tc>
        <w:tc>
          <w:tcPr>
            <w:tcW w:type="dxa" w:w="74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[CNPJ]</w:t>
            </w:r>
          </w:p>
        </w:tc>
      </w:tr>
      <w:tr>
        <w:trPr>
          <w:tblHeader w:val="false"/>
        </w:trPr>
        <w:tc>
          <w:tcPr>
            <w:tcW w:type="dxa" w:w="2200"/>
            <w:shd w:fill="F1F5F9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Regime atual</w:t>
            </w:r>
          </w:p>
        </w:tc>
        <w:tc>
          <w:tcPr>
            <w:tcW w:type="dxa" w:w="74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Simples Nacional — [ANEXO] · faixa de receita [FAIXA]</w:t>
            </w:r>
          </w:p>
        </w:tc>
      </w:tr>
      <w:tr>
        <w:trPr>
          <w:tblHeader w:val="false"/>
        </w:trPr>
        <w:tc>
          <w:tcPr>
            <w:tcW w:type="dxa" w:w="2200"/>
            <w:shd w:fill="F1F5F9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Responsável</w:t>
            </w:r>
          </w:p>
        </w:tc>
        <w:tc>
          <w:tcPr>
            <w:tcW w:type="dxa" w:w="74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[NOME DO RESPONSÁVEL] — [CARGO]</w:t>
            </w:r>
          </w:p>
        </w:tc>
      </w:tr>
    </w:tbl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O que está em jogo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A Resolução CGSN nº 186/2026 abriu uma janela de 1º a 30 de setembro de 2026. Dentro dela, a empresa optante do Simples Nacional pode escolher apurar o IBS e a CBS fora do DAS — o documento único de arrecadação —, passando a recolher esses dois tributos pelo regime regular. A escolha produz efeito de janeiro a junho de 2027 e pode ser cancelada até o último dia de novembro de 2026. Fora dessa janela, não há como fazer a opção para o primeiro semestre de 2027.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Em janeiro de 2027 a cobrança da CBS entra em vigor e o IBS começa a sua fase inicial. Enquanto o recolhimento fica dentro do DAS, o tributo segue embutido no percentual único do Simples e o crédito que a sua empresa transfere ao comprador é limitado ao que a legislação permite nessa condição. Apurando por fora, a empresa destaca IBS e CBS no documento fiscal, apropria créditos das próprias compras e transfere ao comprador o crédito integral. São duas contas diferentes de carga, de preço e de margem.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Se a sua empresa vende para outras empresas, a decisão não é apenas interna. O comprador que aproveita crédito compara fornecedores pelo custo líquido depois do crédito, e não pelo valor da nota. A partir de 2027 essa comparação passa a incluir quem transfere crédito cheio e quem não transfere. Por isso a decisão precisa ser tomada com número, dentro do prazo, e registrada por escrito — inclusive a decisão de permanecer como está.</w:t>
      </w:r>
    </w:p>
    <w:p>
      <w:pPr>
        <w:spacing w:after="120" w:line="276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Base normativa: EC 132/2023 · LC 214/2025 · LC 227/2026, que revogou o art. 87-B e postergou o art. 517 da LC 214/2025 · Resolução CGSN nº 186/2026, apoiada no art. 41, §§ 3º e 4º, da LC 123/2006.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O que você recebe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Análise da alíquota efetiva da sua empresa, a partir do faturamento, do mix de clientes e da estrutura de compras informados.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Comparação entre permanecer no DAS e apurar IBS e CBS por fora, expressa em percentual sobre a receita e em R$ por ano.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Dois cenários de alíquota, porque a alíquota de referência ainda não foi fixada — a análise mostra o intervalo, não um número único.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Laudo técnico com memória de cálculo: premissas, fórmulas, fontes normativas e o caminho até cada resultado.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Termo de ciência para assinatura, com código de verificação pública do documento emitido.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Reunião de apresentação com o responsável pela decisão, para percorrer os números e registrar a escolha.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Prazo</w:t>
      </w:r>
    </w:p>
    <w:tbl>
      <w:tblPr>
        <w:tblW w:type="dxa" w:w="9638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Etapa</w:t>
            </w:r>
          </w:p>
        </w:tc>
        <w:tc>
          <w:tcPr>
            <w:tcW w:type="dxa" w:w="5238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Prazo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Entrega da análise e do laudo</w:t>
            </w:r>
          </w:p>
        </w:tc>
        <w:tc>
          <w:tcPr>
            <w:tcW w:type="dxa" w:w="52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[X] dias úteis a partir do envio das informações e documentos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Decisão da empresa</w:t>
            </w:r>
          </w:p>
        </w:tc>
        <w:tc>
          <w:tcPr>
            <w:tcW w:type="dxa" w:w="52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Até 30 de setembro de 2026 — fechamento da janela</w:t>
            </w:r>
          </w:p>
        </w:tc>
      </w:tr>
      <w:tr>
        <w:trPr>
          <w:tblHeader w:val="false"/>
        </w:trPr>
        <w:tc>
          <w:tcPr>
            <w:tcW w:type="dxa" w:w="44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Cancelamento da opção</w:t>
            </w:r>
          </w:p>
        </w:tc>
        <w:tc>
          <w:tcPr>
            <w:tcW w:type="dxa" w:w="52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Possível até o último dia de novembro de 2026</w:t>
            </w:r>
          </w:p>
        </w:tc>
      </w:tr>
    </w:tbl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Investimento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B1220"/>
          <w:sz w:val="26"/>
          <w:szCs w:val="26"/>
        </w:rPr>
        <w:t xml:space="preserve">R$ [VALOR]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por empresa analisada, à vista, ou em [N]x de R$ [VALOR DA PARCELA].</w:t>
      </w:r>
    </w:p>
    <w:p>
      <w:pPr>
        <w:spacing w:after="120" w:line="276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Inclui a análise, o laudo técnico, o termo de ciência e a reunião de apresentação. Revisões posteriores à emissão do laudo, por mudança de premissa informada pela empresa, são orçadas à parte.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O que esta análise não é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Esta análise não é apuração fiscal e não substitui a escrituração da empresa. Ela não garante economia, não promete resultado e não afirma qual será a carga tributária de 2027 — a alíquota de referência de IBS e CBS só é fixada por Resolução do Senado até 31 de outubro de 2026, ou seja, depois do fechamento da janela de decisão. Todos os números partem de premissas informadas pela empresa: faturamento, composição de clientes, participação de compradores que aproveitam crédito e estrutura de custos e compras. Premissa diferente, resultado diferente. O que a análise entrega é a comparação entre os caminhos possíveis, com a memória de cálculo aberta, para que a decisão seja tomada com informação e dentro do prazo.</w:t>
      </w:r>
    </w:p>
    <w:p>
      <w:pPr>
        <w:spacing w:after="0" w:before="380"/>
      </w:pPr>
      <w:r>
        <w:rPr>
          <w:rFonts w:ascii="Calibri" w:cs="Calibri" w:eastAsia="Calibri" w:hAnsi="Calibri"/>
        </w:rPr>
        <w:t xml:space="preserve"/>
      </w:r>
    </w:p>
    <w:p>
      <w:pPr>
        <w:pBdr>
          <w:top w:val="single" w:color="CBD5E1" w:sz="6" w:space="6"/>
        </w:pBd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24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[CIDADE], [DATA]</w:t>
      </w:r>
    </w:p>
    <w:p>
      <w:pPr>
        <w:spacing w:after="40"/>
      </w:pPr>
      <w:r>
        <w:rPr>
          <w:rFonts w:ascii="Calibri" w:cs="Calibri" w:eastAsia="Calibri" w:hAnsi="Calibri"/>
          <w:color w:val="0B1220"/>
          <w:sz w:val="21"/>
          <w:szCs w:val="21"/>
        </w:rPr>
        <w:t xml:space="preserve">_________________________________________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B1220"/>
          <w:sz w:val="21"/>
          <w:szCs w:val="21"/>
        </w:rPr>
        <w:t xml:space="preserve">[NOME DO CONTADOR]</w:t>
      </w:r>
    </w:p>
    <w:p>
      <w:pPr>
        <w:spacing w:after="0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Contador responsável · CRC [CRC]</w:t>
      </w:r>
    </w:p>
    <w:p>
      <w:pPr>
        <w:spacing w:after="0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[NOME DO ESCRITÓRIO] · [TELEFONE] · [E-MAIL]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60"/>
    </w:pPr>
    <w:r>
      <w:rPr>
        <w:rFonts w:ascii="Calibri" w:cs="Calibri" w:eastAsia="Calibri" w:hAnsi="Calibri"/>
        <w:i/>
        <w:iCs/>
        <w:color w:val="64748B"/>
        <w:sz w:val="15"/>
        <w:szCs w:val="15"/>
      </w:rPr>
      <w:t xml:space="preserve">Estimativa de cenário a partir de premissas informadas. A decisão e a responsabilidade técnica são do contador que assina.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  <w:rPr>
        <w:color w:val="0B1220"/>
      </w:rPr>
    </w:lvl>
    <w:lvl w:ilvl="1" w15:tentative="1">
      <w:start w:val="1"/>
      <w:numFmt w:val="bullet"/>
      <w:lvlText w:val="–"/>
      <w:lvlJc w:val="left"/>
      <w:pPr>
        <w:ind w:left="680" w:hanging="200"/>
      </w:pPr>
      <w:rPr>
        <w:color w:val="64748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2026-08-01T19:09:41.331Z</dcterms:created>
  <dcterms:modified xsi:type="dcterms:W3CDTF">2026-08-01T19:09:41.331Z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