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Calibri" w:cs="Calibri" w:eastAsia="Calibri" w:hAnsi="Calibri"/>
          <w:b/>
          <w:bCs/>
          <w:color w:val="0B1220"/>
          <w:sz w:val="30"/>
          <w:szCs w:val="30"/>
        </w:rPr>
        <w:t xml:space="preserve">Roteiro da reunião de decisão — IBS e CBS até 30/09/2026</w:t>
      </w:r>
    </w:p>
    <w:p>
      <w:pPr>
        <w:spacing w:after="200" w:line="276"/>
      </w:pPr>
      <w:r>
        <w:rPr>
          <w:rFonts w:ascii="Calibri" w:cs="Calibri" w:eastAsia="Calibri" w:hAnsi="Calibri"/>
          <w:color w:val="64748B"/>
          <w:sz w:val="21"/>
          <w:szCs w:val="21"/>
        </w:rPr>
        <w:t xml:space="preserve">Objetivo: sair da reunião com a decisão registrada — sim, não ou pendência com data —, e não com um “vou pensar” sem prazo.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Antes de entrar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O laudo técnico da empresa impresso, com a memória de cálculo à mão.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A comparação em uma página: permanecer no DAS x apurar por fora, em % da receita e em R$/ano.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Os dois cenários de alíquota, identificados como cenário conservador e cenário superior.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O termo de ciência impresso em duas vias, já com os dados da empresa preenchidos.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O calendário com as quatro datas que não se movem: 30/09/2026, 31/10/2026, último dia de novembro/2026 e 01/01/2027.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Os 6 blocos da reunião</w:t>
      </w:r>
    </w:p>
    <w:p>
      <w:pPr>
        <w:spacing w:after="160" w:line="276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Tempo total sugerido: 45 minutos. Se o tempo apertar, corte do bloco 4, nunca do bloco 6.</w:t>
      </w:r>
    </w:p>
    <w:p>
      <w:pPr>
        <w:pStyle w:val="Heading3"/>
        <w:spacing w:after="80" w:before="220"/>
      </w:pPr>
      <w:r>
        <w:rPr>
          <w:rFonts w:ascii="Calibri" w:cs="Calibri" w:eastAsia="Calibri" w:hAnsi="Calibri"/>
          <w:b/>
          <w:bCs/>
          <w:color w:val="0B1220"/>
          <w:sz w:val="21"/>
          <w:szCs w:val="21"/>
        </w:rPr>
        <w:t xml:space="preserve">1. O contexto em 2 minutos — 2 min</w:t>
      </w:r>
    </w:p>
    <w:p>
      <w:pPr>
        <w:pBdr>
          <w:left w:val="single" w:color="0B1220" w:sz="12" w:space="8"/>
        </w:pBdr>
        <w:spacing w:after="70" w:before="100" w:line="268"/>
        <w:ind w:left="280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dizer: </w:t>
      </w: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“Existe uma janela que abriu em 1º de setembro e fecha em 30 de setembro. Nela, a sua empresa pode escolher apurar dois tributos novos — IBS e CBS — fora da guia única do Simples. A escolha vale de janeiro a junho de 2027 e pode ser cancelada até o último dia de novembro deste ano.”</w:t>
      </w:r>
    </w:p>
    <w:p>
      <w:pPr>
        <w:pBdr>
          <w:left w:val="single" w:color="0B1220" w:sz="12" w:space="8"/>
        </w:pBdr>
        <w:spacing w:after="70" w:before="40" w:line="268"/>
        <w:ind w:left="280"/>
      </w:pP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“Não vim vender mudança. Vim mostrar o número da sua empresa e sair daqui com a sua decisão registrada, inclusive se a decisão for ficar como está.”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perguntar: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“Alguém já te falou dessa janela de setembro?” e “quem decide isso aqui, você sozinho ou com mais alguém?”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anotar: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quem é o decisor de fato e se há sócio ou conselho que precisa participar antes de 30/09.</w:t>
      </w:r>
    </w:p>
    <w:p>
      <w:pPr>
        <w:pStyle w:val="Heading3"/>
        <w:spacing w:after="80" w:before="220"/>
      </w:pPr>
      <w:r>
        <w:rPr>
          <w:rFonts w:ascii="Calibri" w:cs="Calibri" w:eastAsia="Calibri" w:hAnsi="Calibri"/>
          <w:b/>
          <w:bCs/>
          <w:color w:val="0B1220"/>
          <w:sz w:val="21"/>
          <w:szCs w:val="21"/>
        </w:rPr>
        <w:t xml:space="preserve">2. Onde a sua empresa está — 8 min</w:t>
      </w:r>
    </w:p>
    <w:p>
      <w:pPr>
        <w:pBdr>
          <w:left w:val="single" w:color="0B1220" w:sz="12" w:space="8"/>
        </w:pBdr>
        <w:spacing w:after="70" w:before="100" w:line="268"/>
        <w:ind w:left="280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dizer: </w:t>
      </w: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“Olha o seu número. [X]% do seu faturamento vai para outras empresas. Dessas, [Y]% aproveitam crédito. Sobre esse pedaço da sua receita, o crédito que você transfere hoje entra na conta de quem compra de você.”</w:t>
      </w:r>
    </w:p>
    <w:p>
      <w:pPr>
        <w:pBdr>
          <w:left w:val="single" w:color="0B1220" w:sz="12" w:space="8"/>
        </w:pBdr>
        <w:spacing w:after="70" w:before="40" w:line="268"/>
        <w:ind w:left="280"/>
      </w:pP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“Os outros [Z]% vão para consumidor final ou para quem não aproveita crédito. Para essa parte, nada disso muda o seu preço — e é por isso que a decisão depende do seu mix, não do seu setor.”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perguntar: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“esse mix vai continuar assim em 2027 ou você está mudando de público?”, “tem cliente grande que já te perguntou sobre crédito?”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anotar: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mudança prevista de mix, contratos com reajuste anual e o nome dos clientes PJ que já levantaram o assunto.</w:t>
      </w:r>
    </w:p>
    <w:p>
      <w:pPr>
        <w:pStyle w:val="Heading3"/>
        <w:spacing w:after="80" w:before="220"/>
      </w:pPr>
      <w:r>
        <w:rPr>
          <w:rFonts w:ascii="Calibri" w:cs="Calibri" w:eastAsia="Calibri" w:hAnsi="Calibri"/>
          <w:b/>
          <w:bCs/>
          <w:color w:val="0B1220"/>
          <w:sz w:val="21"/>
          <w:szCs w:val="21"/>
        </w:rPr>
        <w:t xml:space="preserve">3. A conta — 12 min</w:t>
      </w:r>
    </w:p>
    <w:p>
      <w:pPr>
        <w:pBdr>
          <w:left w:val="single" w:color="0B1220" w:sz="12" w:space="8"/>
        </w:pBdr>
        <w:spacing w:after="70" w:before="100" w:line="268"/>
        <w:ind w:left="280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dizer: </w:t>
      </w: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“Vou te explicar como dono, não como contador. Quem compra de você não compara o valor da nota: compara quanto custa o produto depois de descontar o crédito. Se o seu concorrente transfere crédito cheio e você não, o seu preço na nota pode ser igual e mesmo assim o seu custo final ficar mais caro para o comprador.”</w:t>
      </w:r>
    </w:p>
    <w:p>
      <w:pPr>
        <w:pBdr>
          <w:left w:val="single" w:color="0B1220" w:sz="12" w:space="8"/>
        </w:pBdr>
        <w:spacing w:after="70" w:before="40" w:line="268"/>
        <w:ind w:left="280"/>
      </w:pP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“Aqui está o tamanho disso: para empatar com o cenário de fora do DAS, o repasse necessário no seu preço seria de [R]%. O ganho de crédito do seu comprador, no mesmo cenário, seria de [G]%. Se o ganho dele é maior que o repasse, existe conversa comercial. Se é menor, não existe — e essa é uma resposta legítima.”</w:t>
      </w:r>
    </w:p>
    <w:p>
      <w:pPr>
        <w:spacing w:after="120" w:line="276"/>
      </w:pPr>
      <w:r>
        <w:rPr>
          <w:rFonts w:ascii="Calibri" w:cs="Calibri" w:eastAsia="Calibri" w:hAnsi="Calibri"/>
          <w:color w:val="64748B"/>
          <w:sz w:val="19"/>
          <w:szCs w:val="19"/>
        </w:rPr>
        <w:t xml:space="preserve">Regra da linguagem: fale em preço, margem e negociação com o cliente dele. Termos como não cumulatividade, apropriação e regime regular ficam no laudo, não na mesa.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perguntar: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“você conseguiria sentar com os seus três maiores clientes e falar de preço em 2027?”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anotar: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quais clientes suportam conversa de preço e quais não — isso define se a opção é viável na prática.</w:t>
      </w:r>
    </w:p>
    <w:p>
      <w:pPr>
        <w:pStyle w:val="Heading3"/>
        <w:spacing w:after="80" w:before="220"/>
      </w:pPr>
      <w:r>
        <w:rPr>
          <w:rFonts w:ascii="Calibri" w:cs="Calibri" w:eastAsia="Calibri" w:hAnsi="Calibri"/>
          <w:b/>
          <w:bCs/>
          <w:color w:val="0B1220"/>
          <w:sz w:val="21"/>
          <w:szCs w:val="21"/>
        </w:rPr>
        <w:t xml:space="preserve">4. O que ainda não se sabe — 5 min</w:t>
      </w:r>
    </w:p>
    <w:p>
      <w:pPr>
        <w:pBdr>
          <w:left w:val="single" w:color="0B1220" w:sz="12" w:space="8"/>
        </w:pBdr>
        <w:spacing w:after="70" w:before="100" w:line="268"/>
        <w:ind w:left="280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dizer: </w:t>
      </w: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“Preciso ser honesto com você sobre o que ninguém sabe ainda. A alíquota de referência de IBS e CBS só é fixada por Resolução do Senado até 31 de outubro de 2026 — depois que a janela de decisão já tiver fechado. Ou seja: a decisão é tomada antes do número final existir.”</w:t>
      </w:r>
    </w:p>
    <w:p>
      <w:pPr>
        <w:pBdr>
          <w:left w:val="single" w:color="0B1220" w:sz="12" w:space="8"/>
        </w:pBdr>
        <w:spacing w:after="70" w:before="40" w:line="268"/>
        <w:ind w:left="280"/>
      </w:pP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“Por isso eu não te trouxe um número, te trouxe dois. No cenário conservador, o resultado é [A]. No cenário superior, é [B]. Se a sua decisão muda entre um cenário e outro, isso também é informação: significa que o seu caso é de margem estreita e merece a revisão de novembro.”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perguntar: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“a sua decisão seria a mesma nos dois cenários?”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anotar: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se a decisão é estável nos dois cenários ou se depende da alíquota — caso dependa, marque a revisão de novembro na hora.</w:t>
      </w:r>
    </w:p>
    <w:p>
      <w:pPr>
        <w:pStyle w:val="Heading3"/>
        <w:spacing w:after="80" w:before="220"/>
      </w:pPr>
      <w:r>
        <w:rPr>
          <w:rFonts w:ascii="Calibri" w:cs="Calibri" w:eastAsia="Calibri" w:hAnsi="Calibri"/>
          <w:b/>
          <w:bCs/>
          <w:color w:val="0B1220"/>
          <w:sz w:val="21"/>
          <w:szCs w:val="21"/>
        </w:rPr>
        <w:t xml:space="preserve">5. A decisão — 10 min</w:t>
      </w:r>
    </w:p>
    <w:p>
      <w:pPr>
        <w:pBdr>
          <w:left w:val="single" w:color="0B1220" w:sz="12" w:space="8"/>
        </w:pBdr>
        <w:spacing w:after="70" w:before="100" w:line="268"/>
        <w:ind w:left="280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dizer: </w:t>
      </w: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“Você tem três saídas, e eu preciso de uma delas hoje. Todas são defensáveis. A única que não existe é decidir em outubro.”</w:t>
      </w:r>
    </w:p>
    <w:p>
      <w:pPr>
        <w:spacing w:after="100" w:line="276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Nenhuma delas é “decidir depois de setembro”.</w:t>
      </w:r>
    </w:p>
    <w:tbl>
      <w:tblPr>
        <w:tblW w:type="dxa" w:w="9638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2100"/>
        <w:gridCol w:w="3800"/>
        <w:gridCol w:w="3738"/>
      </w:tblGrid>
      <w:tr>
        <w:trPr>
          <w:tblHeader/>
        </w:trPr>
        <w:tc>
          <w:tcPr>
            <w:tcW w:type="dxa" w:w="2100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Saída</w:t>
            </w:r>
          </w:p>
        </w:tc>
        <w:tc>
          <w:tcPr>
            <w:tcW w:type="dxa" w:w="3800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significa</w:t>
            </w:r>
          </w:p>
        </w:tc>
        <w:tc>
          <w:tcPr>
            <w:tcW w:type="dxa" w:w="3738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exige do empresário</w:t>
            </w:r>
          </w:p>
        </w:tc>
      </w:tr>
      <w:tr>
        <w:trPr>
          <w:tblHeader w:val="false"/>
        </w:trPr>
        <w:tc>
          <w:tcPr>
            <w:tcW w:type="dxa" w:w="21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Optar por apurar fora do DAS</w:t>
            </w:r>
          </w:p>
        </w:tc>
        <w:tc>
          <w:tcPr>
            <w:tcW w:type="dxa" w:w="38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Formaliza a opção dentro da janela, com efeito de janeiro a junho de 2027.</w:t>
            </w:r>
          </w:p>
        </w:tc>
        <w:tc>
          <w:tcPr>
            <w:tcW w:type="dxa" w:w="37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Assinar o termo de ciência até [DATA], revisar preços e contratos e avisar os clientes PJ.</w:t>
            </w:r>
          </w:p>
        </w:tc>
      </w:tr>
      <w:tr>
        <w:trPr>
          <w:tblHeader w:val="false"/>
        </w:trPr>
        <w:tc>
          <w:tcPr>
            <w:tcW w:type="dxa" w:w="21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Permanecer no DAS</w:t>
            </w:r>
          </w:p>
        </w:tc>
        <w:tc>
          <w:tcPr>
            <w:tcW w:type="dxa" w:w="38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Segue o recolhimento na guia única; nada é formalizado na janela.</w:t>
            </w:r>
          </w:p>
        </w:tc>
        <w:tc>
          <w:tcPr>
            <w:tcW w:type="dxa" w:w="37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Assinar o termo registrando que foi informado e decidiu permanecer, e reavaliar na janela seguinte.</w:t>
            </w:r>
          </w:p>
        </w:tc>
      </w:tr>
      <w:tr>
        <w:trPr>
          <w:tblHeader w:val="false"/>
        </w:trPr>
        <w:tc>
          <w:tcPr>
            <w:tcW w:type="dxa" w:w="21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Optar agora e reavaliar</w:t>
            </w:r>
          </w:p>
        </w:tc>
        <w:tc>
          <w:tcPr>
            <w:tcW w:type="dxa" w:w="38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Faz a opção na janela e usa o prazo de cancelamento como reserva.</w:t>
            </w:r>
          </w:p>
        </w:tc>
        <w:tc>
          <w:tcPr>
            <w:tcW w:type="dxa" w:w="37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Decidir de novo até o último dia de novembro de 2026, com os dados de outubro na mão.</w:t>
            </w:r>
          </w:p>
        </w:tc>
      </w:tr>
    </w:tbl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perguntar: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“qual das três você escolhe agora?” — e, se for a terceira, “quem senta comigo em novembro?”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anotar: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 saída escolhida, a data e quem participou da decisão.</w:t>
      </w:r>
    </w:p>
    <w:p>
      <w:pPr>
        <w:pStyle w:val="Heading3"/>
        <w:spacing w:after="80" w:before="220"/>
      </w:pPr>
      <w:r>
        <w:rPr>
          <w:rFonts w:ascii="Calibri" w:cs="Calibri" w:eastAsia="Calibri" w:hAnsi="Calibri"/>
          <w:b/>
          <w:bCs/>
          <w:color w:val="0B1220"/>
          <w:sz w:val="21"/>
          <w:szCs w:val="21"/>
        </w:rPr>
        <w:t xml:space="preserve">6. O registro — 8 min</w:t>
      </w:r>
    </w:p>
    <w:p>
      <w:pPr>
        <w:pBdr>
          <w:left w:val="single" w:color="0B1220" w:sz="12" w:space="8"/>
        </w:pBdr>
        <w:spacing w:after="70" w:before="100" w:line="268"/>
        <w:ind w:left="280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dizer: </w:t>
      </w: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“Antes de sair, eu preciso da sua assinatura neste termo. Ele não te obriga a nada além do que você acabou de decidir: diz o que foi apresentado, com quais premissas, qual foi a sua escolha e em que data.”</w:t>
      </w:r>
    </w:p>
    <w:p>
      <w:pPr>
        <w:pBdr>
          <w:left w:val="single" w:color="0B1220" w:sz="12" w:space="8"/>
        </w:pBdr>
        <w:spacing w:after="70" w:before="40" w:line="268"/>
        <w:ind w:left="280"/>
      </w:pPr>
      <w:r>
        <w:rPr>
          <w:rFonts w:ascii="Calibri" w:cs="Calibri" w:eastAsia="Calibri" w:hAnsi="Calibri"/>
          <w:i/>
          <w:iCs/>
          <w:color w:val="1F2937"/>
          <w:sz w:val="20"/>
          <w:szCs w:val="20"/>
        </w:rPr>
        <w:t xml:space="preserve">“Isso protege nós dois. Protege você porque registra que a decisão foi tomada com análise, e não no escuro. Protege a mim porque delimita que a análise partiu das informações que a sua empresa forneceu. Se a premissa mudar, a gente refaz — mas a partir de um ponto documentado.”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perguntar: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“alguma premissa aqui está errada? É agora que a gente corrige.”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 que anotar: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assinatura, data, correções de premissa e o código de verificação do documento emitido.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As 8 objeções mais comuns e a resposta</w:t>
      </w:r>
    </w:p>
    <w:tbl>
      <w:tblPr>
        <w:tblW w:type="dxa" w:w="9638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3300"/>
        <w:gridCol w:w="6338"/>
      </w:tblGrid>
      <w:tr>
        <w:trPr>
          <w:tblHeader/>
        </w:trPr>
        <w:tc>
          <w:tcPr>
            <w:tcW w:type="dxa" w:w="3300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 objeção</w:t>
            </w:r>
          </w:p>
        </w:tc>
        <w:tc>
          <w:tcPr>
            <w:tcW w:type="dxa" w:w="6338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 resposta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“Isso não é para 2033?”</w:t>
            </w:r>
          </w:p>
        </w:tc>
        <w:tc>
          <w:tcPr>
            <w:tcW w:type="dxa" w:w="6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 transição termina em 2033, mas a decisão é agora: a janela fecha em 30 de setembro de 2026 e o efeito começa em 1º de janeiro de 2027. Quem perde a janela não decide nada — fica na regra atual até a janela seguinte.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“Meu contador não falou nada disso.”</w:t>
            </w:r>
          </w:p>
        </w:tc>
        <w:tc>
          <w:tcPr>
            <w:tcW w:type="dxa" w:w="6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 regra é recente: a Resolução CGSN nº 186/2026 veio depois da LC 227/2026, que ainda mudou a norma anterior. Boa parte do mercado ainda está lendo. Por isso trouxe a sua análise por escrito, com a memória de cálculo aberta para qualquer profissional conferir.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“Vou esperar para ver.”</w:t>
            </w:r>
          </w:p>
        </w:tc>
        <w:tc>
          <w:tcPr>
            <w:tcW w:type="dxa" w:w="6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Esperar é uma decisão e tem data: em 1º de outubro a janela está fechada e a empresa segue na regra atual no primeiro semestre de 2027. A espera legítima é outra — optar agora e usar o prazo de cancelamento, que vai até o último dia de novembro de 2026.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“Quanto eu economizo?”</w:t>
            </w:r>
          </w:p>
        </w:tc>
        <w:tc>
          <w:tcPr>
            <w:tcW w:type="dxa" w:w="6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Não trabalho com promessa de economia, e desconfie de quem trabalha. A pergunta certa é outra: quanto você arrisca ficar mais caro para o cliente que compra de você. No cenário conservador, o repasse necessário é [R]% e o ganho de crédito do seu comprador é [G]%; no cenário superior, [R2]% contra [G2]%. É uma conta de competitividade e de risco de perder venda, não uma promessa de resultado.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“E se mudar a lei?”</w:t>
            </w:r>
          </w:p>
        </w:tc>
        <w:tc>
          <w:tcPr>
            <w:tcW w:type="dxa" w:w="6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Parte já está mudando, e por isso a decisão é registrada com premissas datadas. A alíquota de referência só é fixada por Resolução do Senado até 31 de outubro de 2026 — depois do fechamento da janela. Foi para isso que a análise trouxe dois cenários, e é para isso que existe o prazo de cancelamento até o último dia de novembro.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“Meu cliente não vai aceitar reajuste.”</w:t>
            </w:r>
          </w:p>
        </w:tc>
        <w:tc>
          <w:tcPr>
            <w:tcW w:type="dxa" w:w="6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Pode não aceitar mesmo, e isso é resposta. Só que a conversa não é de reajuste puro: é de custo líquido depois do crédito. Se o ganho de crédito dele for maior que o repasse, ele sai igual ou melhor. Se for menor, a conta não fecha e permanecer como está é a decisão correta.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“Isso não é caro demais para uma análise?”</w:t>
            </w:r>
          </w:p>
        </w:tc>
        <w:tc>
          <w:tcPr>
            <w:tcW w:type="dxa" w:w="6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Compare com o que está na mesa: a decisão vale por um semestre inteiro de faturamento e não pode ser tomada fora do prazo. Você contrata a análise da sua empresa com memória de cálculo e o documento que registra a decisão. Se o resultado for permanecer como está, o documento continua valendo.</w:t>
            </w:r>
          </w:p>
        </w:tc>
      </w:tr>
      <w:tr>
        <w:trPr>
          <w:tblHeader w:val="false"/>
        </w:trPr>
        <w:tc>
          <w:tcPr>
            <w:tcW w:type="dxa" w:w="3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“Posso decidir depois?”</w:t>
            </w:r>
          </w:p>
        </w:tc>
        <w:tc>
          <w:tcPr>
            <w:tcW w:type="dxa" w:w="6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Depois de 30 de setembro não existe opção para o primeiro semestre de 2027. Existe o cancelamento, até o último dia de novembro de 2026, para quem optou; e a janela seguinte, em março, para o semestre posterior. Decidir hoje mantém as duas portas abertas.</w:t>
            </w:r>
          </w:p>
        </w:tc>
      </w:tr>
    </w:tbl>
    <w:p>
      <w:pPr>
        <w:spacing w:after="160" w:line="276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Nunca prometa resultado nem percentual de ganho: todo número citado é estimativa de cenário a partir de premissas informadas pela empresa.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Depois da reunião</w:t>
      </w:r>
    </w:p>
    <w:p>
      <w:pPr>
        <w:pStyle w:val="Heading3"/>
        <w:spacing w:after="80" w:before="220"/>
      </w:pPr>
      <w:r>
        <w:rPr>
          <w:rFonts w:ascii="Calibri" w:cs="Calibri" w:eastAsia="Calibri" w:hAnsi="Calibri"/>
          <w:b/>
          <w:bCs/>
          <w:color w:val="0B1220"/>
          <w:sz w:val="21"/>
          <w:szCs w:val="21"/>
        </w:rPr>
        <w:t xml:space="preserve">1. Emitir o laudo — em até [X] dias úteis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Corrija as premissas anotadas na mesa, refaça os dois cenários e emita o laudo definitivo com memória de cálculo e código de verificação pública.</w:t>
      </w:r>
    </w:p>
    <w:p>
      <w:pPr>
        <w:pStyle w:val="Heading3"/>
        <w:spacing w:after="80" w:before="220"/>
      </w:pPr>
      <w:r>
        <w:rPr>
          <w:rFonts w:ascii="Calibri" w:cs="Calibri" w:eastAsia="Calibri" w:hAnsi="Calibri"/>
          <w:b/>
          <w:bCs/>
          <w:color w:val="0B1220"/>
          <w:sz w:val="21"/>
          <w:szCs w:val="21"/>
        </w:rPr>
        <w:t xml:space="preserve">2. Colher a assinatura — em até 3 dias úteis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Envie o termo com a decisão registrada e persiga a assinatura. Sem assinatura a decisão não existe no papel — inclusive a de permanecer como está. Arquive as duas vias.</w:t>
      </w:r>
    </w:p>
    <w:p>
      <w:pPr>
        <w:pStyle w:val="Heading3"/>
        <w:spacing w:after="80" w:before="220"/>
      </w:pPr>
      <w:r>
        <w:rPr>
          <w:rFonts w:ascii="Calibri" w:cs="Calibri" w:eastAsia="Calibri" w:hAnsi="Calibri"/>
          <w:b/>
          <w:bCs/>
          <w:color w:val="0B1220"/>
          <w:sz w:val="21"/>
          <w:szCs w:val="21"/>
        </w:rPr>
        <w:t xml:space="preserve">3. Agendar a revisão de novembro — no ato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Marque com o cliente a revisão da primeira quinzena de novembro de 2026: alíquota de referência já publicada, cenários recalculados e a decisão de manter ou cancelar antes do último dia do mês.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6" w:space="6"/>
      </w:pBdr>
      <w:spacing w:before="60"/>
    </w:pPr>
    <w:r>
      <w:rPr>
        <w:rFonts w:ascii="Calibri" w:cs="Calibri" w:eastAsia="Calibri" w:hAnsi="Calibri"/>
        <w:i/>
        <w:iCs/>
        <w:color w:val="64748B"/>
        <w:sz w:val="15"/>
        <w:szCs w:val="15"/>
      </w:rPr>
      <w:t xml:space="preserve">Estimativa de cenário a partir de premissas informadas. A decisão e a responsabilidade técnica são do contador que assina.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  <w:rPr>
        <w:color w:val="0B1220"/>
      </w:rPr>
    </w:lvl>
    <w:lvl w:ilvl="1" w15:tentative="1">
      <w:start w:val="1"/>
      <w:numFmt w:val="bullet"/>
      <w:lvlText w:val="–"/>
      <w:lvlJc w:val="left"/>
      <w:pPr>
        <w:ind w:left="680" w:hanging="200"/>
      </w:pPr>
      <w:rPr>
        <w:color w:val="64748B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2026-08-01T19:09:41.401Z</dcterms:created>
  <dcterms:modified xsi:type="dcterms:W3CDTF">2026-08-01T19:09:41.401Z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